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3DF1" w:rsidRPr="00DB2B77" w:rsidRDefault="00CE3DF1" w:rsidP="00CE3DF1">
      <w:pPr>
        <w:autoSpaceDE w:val="0"/>
        <w:autoSpaceDN w:val="0"/>
        <w:adjustRightInd w:val="0"/>
        <w:spacing w:after="0" w:line="240" w:lineRule="auto"/>
        <w:rPr>
          <w:rFonts w:ascii="Times New Roman" w:hAnsi="Times New Roman"/>
          <w:b/>
        </w:rPr>
      </w:pPr>
      <w:r w:rsidRPr="00DB2B77">
        <w:rPr>
          <w:rFonts w:ascii="Times New Roman" w:hAnsi="Times New Roman"/>
          <w:b/>
        </w:rPr>
        <w:t>Article Summary:</w:t>
      </w:r>
    </w:p>
    <w:p w:rsidR="00CE3DF1" w:rsidRPr="00DB2B77" w:rsidRDefault="00CE3DF1" w:rsidP="00CE3DF1">
      <w:pPr>
        <w:autoSpaceDE w:val="0"/>
        <w:autoSpaceDN w:val="0"/>
        <w:adjustRightInd w:val="0"/>
        <w:spacing w:after="0" w:line="240" w:lineRule="auto"/>
        <w:rPr>
          <w:rFonts w:ascii="Times New Roman" w:hAnsi="Times New Roman"/>
        </w:rPr>
      </w:pPr>
    </w:p>
    <w:p w:rsidR="00CE3DF1" w:rsidRPr="00DB2B77" w:rsidRDefault="00CE3DF1" w:rsidP="00CE3DF1">
      <w:pPr>
        <w:autoSpaceDE w:val="0"/>
        <w:autoSpaceDN w:val="0"/>
        <w:adjustRightInd w:val="0"/>
        <w:spacing w:after="0" w:line="240" w:lineRule="auto"/>
        <w:ind w:firstLine="720"/>
        <w:rPr>
          <w:rFonts w:ascii="Times New Roman" w:hAnsi="Times New Roman"/>
        </w:rPr>
      </w:pPr>
      <w:r w:rsidRPr="00DB2B77">
        <w:rPr>
          <w:rFonts w:ascii="Times New Roman" w:hAnsi="Times New Roman"/>
        </w:rPr>
        <w:t>The article summary should include a two to three paragraph summary of the work covering the main ideas and concepts portrayed in the article. </w:t>
      </w:r>
    </w:p>
    <w:p w:rsidR="00CE3DF1" w:rsidRPr="00DB2B77" w:rsidRDefault="00CE3DF1" w:rsidP="00CE3DF1">
      <w:pPr>
        <w:autoSpaceDE w:val="0"/>
        <w:autoSpaceDN w:val="0"/>
        <w:adjustRightInd w:val="0"/>
        <w:spacing w:after="0" w:line="240" w:lineRule="auto"/>
        <w:rPr>
          <w:rFonts w:ascii="Times New Roman" w:hAnsi="Times New Roman"/>
        </w:rPr>
      </w:pPr>
    </w:p>
    <w:p w:rsidR="00CE3DF1" w:rsidRPr="00DB2B77" w:rsidRDefault="00CE3DF1" w:rsidP="00CE3DF1">
      <w:pPr>
        <w:autoSpaceDE w:val="0"/>
        <w:autoSpaceDN w:val="0"/>
        <w:adjustRightInd w:val="0"/>
        <w:spacing w:after="0" w:line="240" w:lineRule="auto"/>
        <w:rPr>
          <w:rFonts w:ascii="Times New Roman" w:hAnsi="Times New Roman"/>
        </w:rPr>
      </w:pPr>
    </w:p>
    <w:p w:rsidR="00CE3DF1" w:rsidRPr="00DB2B77" w:rsidRDefault="00CE3DF1" w:rsidP="00CE3DF1">
      <w:pPr>
        <w:autoSpaceDE w:val="0"/>
        <w:autoSpaceDN w:val="0"/>
        <w:adjustRightInd w:val="0"/>
        <w:spacing w:after="0" w:line="240" w:lineRule="auto"/>
        <w:rPr>
          <w:rFonts w:ascii="Times New Roman" w:hAnsi="Times New Roman"/>
          <w:b/>
        </w:rPr>
      </w:pPr>
      <w:r w:rsidRPr="00DB2B77">
        <w:rPr>
          <w:rFonts w:ascii="Times New Roman" w:hAnsi="Times New Roman"/>
          <w:b/>
        </w:rPr>
        <w:t>Article Evaluation:</w:t>
      </w:r>
    </w:p>
    <w:p w:rsidR="00CE3DF1" w:rsidRPr="00DB2B77" w:rsidRDefault="00CE3DF1" w:rsidP="00CE3DF1">
      <w:pPr>
        <w:autoSpaceDE w:val="0"/>
        <w:autoSpaceDN w:val="0"/>
        <w:adjustRightInd w:val="0"/>
        <w:spacing w:after="0" w:line="240" w:lineRule="auto"/>
        <w:rPr>
          <w:rFonts w:ascii="Times New Roman" w:hAnsi="Times New Roman"/>
        </w:rPr>
      </w:pPr>
    </w:p>
    <w:p w:rsidR="00CE3DF1" w:rsidRPr="00DB2B77" w:rsidRDefault="00CE3DF1" w:rsidP="00CE3DF1">
      <w:pPr>
        <w:autoSpaceDE w:val="0"/>
        <w:autoSpaceDN w:val="0"/>
        <w:adjustRightInd w:val="0"/>
        <w:spacing w:after="0" w:line="240" w:lineRule="auto"/>
        <w:ind w:firstLine="720"/>
        <w:rPr>
          <w:rFonts w:ascii="Times New Roman" w:hAnsi="Times New Roman"/>
        </w:rPr>
      </w:pPr>
      <w:r w:rsidRPr="00DB2B77">
        <w:rPr>
          <w:rFonts w:ascii="Times New Roman" w:hAnsi="Times New Roman"/>
        </w:rPr>
        <w:t>The article evaluation should include a two to three paragraph evaluation of the article.  It should cover topics like the positive and negative features of the article, what you liked, what you didn’t liked, important information that was left out, what you learned from it, etc. </w:t>
      </w:r>
    </w:p>
    <w:p w:rsidR="00CE3DF1" w:rsidRPr="00DB2B77" w:rsidRDefault="00CE3DF1" w:rsidP="00CE3DF1">
      <w:pPr>
        <w:autoSpaceDE w:val="0"/>
        <w:autoSpaceDN w:val="0"/>
        <w:adjustRightInd w:val="0"/>
        <w:spacing w:after="0" w:line="240" w:lineRule="auto"/>
        <w:rPr>
          <w:rFonts w:ascii="Times New Roman" w:hAnsi="Times New Roman"/>
        </w:rPr>
      </w:pPr>
    </w:p>
    <w:p w:rsidR="00CE3DF1" w:rsidRPr="00DB2B77" w:rsidRDefault="00CE3DF1" w:rsidP="00CE3DF1">
      <w:pPr>
        <w:autoSpaceDE w:val="0"/>
        <w:autoSpaceDN w:val="0"/>
        <w:adjustRightInd w:val="0"/>
        <w:spacing w:after="0" w:line="240" w:lineRule="auto"/>
        <w:rPr>
          <w:rFonts w:ascii="Times New Roman" w:hAnsi="Times New Roman"/>
          <w:i/>
        </w:rPr>
      </w:pPr>
      <w:r w:rsidRPr="00DB2B77">
        <w:rPr>
          <w:rFonts w:ascii="Times New Roman" w:hAnsi="Times New Roman"/>
          <w:i/>
        </w:rPr>
        <w:t>The following page is an example of what it should look like:</w:t>
      </w:r>
    </w:p>
    <w:p w:rsidR="00CE3DF1" w:rsidRPr="00DB2B77" w:rsidRDefault="00CE3DF1" w:rsidP="00CE3DF1">
      <w:pPr>
        <w:spacing w:after="0" w:line="240" w:lineRule="auto"/>
        <w:rPr>
          <w:rFonts w:ascii="Times New Roman" w:hAnsi="Times New Roman"/>
          <w:sz w:val="24"/>
          <w:szCs w:val="24"/>
        </w:rPr>
      </w:pPr>
      <w:r w:rsidRPr="00DB2B77">
        <w:rPr>
          <w:rFonts w:ascii="Times New Roman" w:hAnsi="Times New Roman"/>
        </w:rPr>
        <w:br w:type="page"/>
      </w:r>
      <w:r w:rsidRPr="00DB2B77">
        <w:rPr>
          <w:rFonts w:ascii="Times New Roman" w:hAnsi="Times New Roman"/>
          <w:sz w:val="24"/>
          <w:szCs w:val="24"/>
        </w:rPr>
        <w:lastRenderedPageBreak/>
        <w:t>John Doe</w:t>
      </w:r>
    </w:p>
    <w:p w:rsidR="00CE3DF1" w:rsidRPr="00DB2B77" w:rsidRDefault="00CE3DF1" w:rsidP="00CE3DF1">
      <w:pPr>
        <w:spacing w:after="0" w:line="240" w:lineRule="auto"/>
        <w:rPr>
          <w:rFonts w:ascii="Times New Roman" w:hAnsi="Times New Roman"/>
          <w:sz w:val="24"/>
          <w:szCs w:val="24"/>
        </w:rPr>
      </w:pPr>
      <w:r w:rsidRPr="00DB2B77">
        <w:rPr>
          <w:rFonts w:ascii="Times New Roman" w:hAnsi="Times New Roman"/>
          <w:sz w:val="24"/>
          <w:szCs w:val="24"/>
        </w:rPr>
        <w:t xml:space="preserve">TECS </w:t>
      </w:r>
      <w:r>
        <w:rPr>
          <w:rFonts w:ascii="Times New Roman" w:hAnsi="Times New Roman"/>
          <w:sz w:val="24"/>
          <w:szCs w:val="24"/>
        </w:rPr>
        <w:t>301</w:t>
      </w:r>
      <w:r w:rsidRPr="00DB2B77">
        <w:rPr>
          <w:rFonts w:ascii="Times New Roman" w:hAnsi="Times New Roman"/>
          <w:sz w:val="24"/>
          <w:szCs w:val="24"/>
        </w:rPr>
        <w:t xml:space="preserve"> – Intro to Instructional Technology</w:t>
      </w:r>
      <w:bookmarkStart w:id="0" w:name="_GoBack"/>
    </w:p>
    <w:bookmarkEnd w:id="0"/>
    <w:p w:rsidR="00CE3DF1" w:rsidRPr="00DB2B77" w:rsidRDefault="00CE3DF1" w:rsidP="00CE3DF1">
      <w:pPr>
        <w:spacing w:after="0" w:line="240" w:lineRule="auto"/>
        <w:rPr>
          <w:rFonts w:ascii="Times New Roman" w:hAnsi="Times New Roman"/>
          <w:sz w:val="24"/>
          <w:szCs w:val="24"/>
        </w:rPr>
      </w:pPr>
      <w:r w:rsidRPr="00DB2B77">
        <w:rPr>
          <w:rFonts w:ascii="Times New Roman" w:hAnsi="Times New Roman"/>
          <w:sz w:val="24"/>
          <w:szCs w:val="24"/>
        </w:rPr>
        <w:t>Article Critique #1</w:t>
      </w:r>
    </w:p>
    <w:p w:rsidR="00CE3DF1" w:rsidRPr="00DB2B77" w:rsidRDefault="00CE3DF1" w:rsidP="00CE3DF1">
      <w:pPr>
        <w:spacing w:after="0" w:line="240" w:lineRule="auto"/>
        <w:rPr>
          <w:rFonts w:ascii="Times New Roman" w:hAnsi="Times New Roman"/>
          <w:sz w:val="24"/>
          <w:szCs w:val="24"/>
        </w:rPr>
      </w:pPr>
    </w:p>
    <w:p w:rsidR="00CE3DF1" w:rsidRPr="00DB2B77" w:rsidRDefault="00CE3DF1" w:rsidP="00CE3DF1">
      <w:pPr>
        <w:spacing w:after="0" w:line="240" w:lineRule="auto"/>
        <w:rPr>
          <w:rFonts w:ascii="Times New Roman" w:hAnsi="Times New Roman"/>
          <w:sz w:val="24"/>
          <w:szCs w:val="24"/>
        </w:rPr>
      </w:pPr>
      <w:r w:rsidRPr="00DB2B77">
        <w:rPr>
          <w:rFonts w:ascii="Times New Roman" w:hAnsi="Times New Roman"/>
          <w:sz w:val="24"/>
          <w:szCs w:val="24"/>
        </w:rPr>
        <w:t>Reference:</w:t>
      </w:r>
    </w:p>
    <w:p w:rsidR="00CE3DF1" w:rsidRPr="00DB2B77" w:rsidRDefault="00CE3DF1" w:rsidP="00CE3DF1">
      <w:pPr>
        <w:spacing w:after="0" w:line="240" w:lineRule="auto"/>
        <w:rPr>
          <w:rFonts w:ascii="Times New Roman" w:hAnsi="Times New Roman"/>
          <w:sz w:val="24"/>
          <w:szCs w:val="24"/>
        </w:rPr>
      </w:pPr>
    </w:p>
    <w:p w:rsidR="00CE3DF1" w:rsidRPr="00DB2B77" w:rsidRDefault="00CE3DF1" w:rsidP="00CE3DF1">
      <w:pPr>
        <w:autoSpaceDE w:val="0"/>
        <w:autoSpaceDN w:val="0"/>
        <w:adjustRightInd w:val="0"/>
        <w:spacing w:after="0" w:line="240" w:lineRule="auto"/>
        <w:ind w:left="720" w:hanging="720"/>
        <w:rPr>
          <w:rFonts w:ascii="Times New Roman" w:hAnsi="Times New Roman"/>
          <w:sz w:val="24"/>
          <w:szCs w:val="24"/>
        </w:rPr>
      </w:pPr>
      <w:r w:rsidRPr="00DB2B77">
        <w:rPr>
          <w:rFonts w:ascii="Times New Roman" w:hAnsi="Times New Roman"/>
          <w:sz w:val="24"/>
          <w:szCs w:val="24"/>
        </w:rPr>
        <w:t xml:space="preserve">Osbourne, John. “Politics, Diplomacy, and the Relics in Venice during the Ninth </w:t>
      </w:r>
      <w:proofErr w:type="spellStart"/>
      <w:r w:rsidRPr="00DB2B77">
        <w:rPr>
          <w:rFonts w:ascii="Times New Roman" w:hAnsi="Times New Roman"/>
          <w:sz w:val="24"/>
          <w:szCs w:val="24"/>
        </w:rPr>
        <w:t>Centurey</w:t>
      </w:r>
      <w:proofErr w:type="spellEnd"/>
      <w:r w:rsidRPr="00DB2B77">
        <w:rPr>
          <w:rFonts w:ascii="Times New Roman" w:hAnsi="Times New Roman"/>
          <w:sz w:val="24"/>
          <w:szCs w:val="24"/>
        </w:rPr>
        <w:t xml:space="preserve">.”  </w:t>
      </w:r>
      <w:r w:rsidRPr="00DB2B77">
        <w:rPr>
          <w:rFonts w:ascii="Times New Roman" w:hAnsi="Times New Roman"/>
          <w:sz w:val="24"/>
          <w:szCs w:val="24"/>
          <w:u w:val="single"/>
        </w:rPr>
        <w:t>Early Medieval Europe</w:t>
      </w:r>
      <w:r w:rsidRPr="00DB2B77">
        <w:rPr>
          <w:rFonts w:ascii="Times New Roman" w:hAnsi="Times New Roman"/>
          <w:sz w:val="24"/>
          <w:szCs w:val="24"/>
        </w:rPr>
        <w:t xml:space="preserve"> 8 (1999): 369-86.</w:t>
      </w:r>
    </w:p>
    <w:p w:rsidR="00CE3DF1" w:rsidRPr="00DB2B77" w:rsidRDefault="00CE3DF1" w:rsidP="00CE3DF1">
      <w:pPr>
        <w:autoSpaceDE w:val="0"/>
        <w:autoSpaceDN w:val="0"/>
        <w:adjustRightInd w:val="0"/>
        <w:spacing w:after="0" w:line="240" w:lineRule="auto"/>
        <w:ind w:left="720" w:hanging="720"/>
        <w:rPr>
          <w:rFonts w:ascii="Times New Roman" w:hAnsi="Times New Roman"/>
          <w:sz w:val="24"/>
          <w:szCs w:val="24"/>
        </w:rPr>
      </w:pPr>
    </w:p>
    <w:p w:rsidR="00CE3DF1" w:rsidRPr="00DB2B77" w:rsidRDefault="00CE3DF1" w:rsidP="00CE3DF1">
      <w:pPr>
        <w:autoSpaceDE w:val="0"/>
        <w:autoSpaceDN w:val="0"/>
        <w:adjustRightInd w:val="0"/>
        <w:spacing w:after="0" w:line="240" w:lineRule="auto"/>
        <w:rPr>
          <w:rFonts w:ascii="Times New Roman" w:hAnsi="Times New Roman"/>
          <w:sz w:val="24"/>
          <w:szCs w:val="24"/>
        </w:rPr>
      </w:pPr>
      <w:r w:rsidRPr="00DB2B77">
        <w:rPr>
          <w:rFonts w:ascii="Times New Roman" w:hAnsi="Times New Roman"/>
          <w:sz w:val="24"/>
          <w:szCs w:val="24"/>
        </w:rPr>
        <w:t>Article Summary:</w:t>
      </w:r>
    </w:p>
    <w:p w:rsidR="00CE3DF1" w:rsidRPr="00DB2B77" w:rsidRDefault="00CE3DF1" w:rsidP="00CE3DF1">
      <w:pPr>
        <w:autoSpaceDE w:val="0"/>
        <w:autoSpaceDN w:val="0"/>
        <w:adjustRightInd w:val="0"/>
        <w:spacing w:after="0" w:line="240" w:lineRule="auto"/>
        <w:rPr>
          <w:rFonts w:ascii="Times New Roman" w:hAnsi="Times New Roman"/>
          <w:sz w:val="24"/>
          <w:szCs w:val="24"/>
        </w:rPr>
      </w:pPr>
    </w:p>
    <w:p w:rsidR="00CE3DF1" w:rsidRPr="00DB2B77" w:rsidRDefault="00CE3DF1" w:rsidP="00CE3DF1">
      <w:pPr>
        <w:autoSpaceDE w:val="0"/>
        <w:autoSpaceDN w:val="0"/>
        <w:adjustRightInd w:val="0"/>
        <w:spacing w:after="0" w:line="240" w:lineRule="auto"/>
        <w:ind w:firstLine="720"/>
        <w:rPr>
          <w:rFonts w:ascii="Times New Roman" w:hAnsi="Times New Roman"/>
          <w:sz w:val="24"/>
          <w:szCs w:val="24"/>
        </w:rPr>
      </w:pPr>
      <w:r w:rsidRPr="00DB2B77">
        <w:rPr>
          <w:rFonts w:ascii="Times New Roman" w:hAnsi="Times New Roman"/>
          <w:sz w:val="24"/>
          <w:szCs w:val="24"/>
        </w:rPr>
        <w:t xml:space="preserve">The basic focus of this article is the role of relics in various post-Roman Empire cities in the northern Adriatic region, including some of the cities’ </w:t>
      </w:r>
      <w:proofErr w:type="gramStart"/>
      <w:r w:rsidRPr="00DB2B77">
        <w:rPr>
          <w:rFonts w:ascii="Times New Roman" w:hAnsi="Times New Roman"/>
          <w:sz w:val="24"/>
          <w:szCs w:val="24"/>
        </w:rPr>
        <w:t>particular relics</w:t>
      </w:r>
      <w:proofErr w:type="gramEnd"/>
      <w:r w:rsidRPr="00DB2B77">
        <w:rPr>
          <w:rFonts w:ascii="Times New Roman" w:hAnsi="Times New Roman"/>
          <w:sz w:val="24"/>
          <w:szCs w:val="24"/>
        </w:rPr>
        <w:t xml:space="preserve"> and patron saints, and how the saintly items and affiliations affected their political power.  In addition to providing protection, the relics also served as diplomatic gifts and bargaining chips, much like any other luxury item or valuable resource would be used in political negotiations. </w:t>
      </w:r>
    </w:p>
    <w:p w:rsidR="00CE3DF1" w:rsidRPr="00DB2B77" w:rsidRDefault="00CE3DF1" w:rsidP="00CE3DF1">
      <w:pPr>
        <w:autoSpaceDE w:val="0"/>
        <w:autoSpaceDN w:val="0"/>
        <w:adjustRightInd w:val="0"/>
        <w:spacing w:after="0" w:line="240" w:lineRule="auto"/>
        <w:ind w:firstLine="720"/>
        <w:rPr>
          <w:rFonts w:ascii="Times New Roman" w:hAnsi="Times New Roman"/>
          <w:sz w:val="24"/>
          <w:szCs w:val="24"/>
        </w:rPr>
      </w:pPr>
      <w:r w:rsidRPr="00DB2B77">
        <w:rPr>
          <w:rFonts w:ascii="Times New Roman" w:hAnsi="Times New Roman"/>
          <w:sz w:val="24"/>
          <w:szCs w:val="24"/>
        </w:rPr>
        <w:br/>
        <w:t>          The relics became important as life grew more instable and the belief that saints served as protectors became more widespread.  From the beginning of the fifth century on as western European cities were being overtaken by various tribes, the Romans could no longer rely on Rome for protection and turned to their local patron saints for help.</w:t>
      </w:r>
    </w:p>
    <w:p w:rsidR="00CE3DF1" w:rsidRPr="00DB2B77" w:rsidRDefault="00CE3DF1" w:rsidP="00CE3DF1">
      <w:pPr>
        <w:autoSpaceDE w:val="0"/>
        <w:autoSpaceDN w:val="0"/>
        <w:adjustRightInd w:val="0"/>
        <w:spacing w:after="0" w:line="240" w:lineRule="auto"/>
        <w:ind w:firstLine="720"/>
        <w:rPr>
          <w:rFonts w:ascii="Times New Roman" w:hAnsi="Times New Roman"/>
          <w:sz w:val="24"/>
          <w:szCs w:val="24"/>
        </w:rPr>
      </w:pPr>
      <w:r w:rsidRPr="00DB2B77">
        <w:rPr>
          <w:rFonts w:ascii="Times New Roman" w:hAnsi="Times New Roman"/>
          <w:sz w:val="24"/>
          <w:szCs w:val="24"/>
        </w:rPr>
        <w:br/>
        <w:t>          Osbourne outlines the history of the relic’s rise in popularity from the fifth to seventh centuries and role in political and cultural life, but his thesis focuses on the political role of saint’s cults and their relics in Venice and Dalmatia in the early ninth century and how Venice gained its independence by adopting St. Mark as their new patron saint. </w:t>
      </w:r>
    </w:p>
    <w:p w:rsidR="00CE3DF1" w:rsidRPr="00DB2B77" w:rsidRDefault="00CE3DF1" w:rsidP="00CE3DF1">
      <w:pPr>
        <w:autoSpaceDE w:val="0"/>
        <w:autoSpaceDN w:val="0"/>
        <w:adjustRightInd w:val="0"/>
        <w:spacing w:after="0" w:line="240" w:lineRule="auto"/>
        <w:rPr>
          <w:rFonts w:ascii="Times New Roman" w:hAnsi="Times New Roman"/>
          <w:sz w:val="24"/>
          <w:szCs w:val="24"/>
        </w:rPr>
      </w:pPr>
    </w:p>
    <w:p w:rsidR="00CE3DF1" w:rsidRPr="00DB2B77" w:rsidRDefault="00CE3DF1" w:rsidP="00CE3DF1">
      <w:pPr>
        <w:autoSpaceDE w:val="0"/>
        <w:autoSpaceDN w:val="0"/>
        <w:adjustRightInd w:val="0"/>
        <w:spacing w:after="0" w:line="240" w:lineRule="auto"/>
        <w:rPr>
          <w:rFonts w:ascii="Times New Roman" w:hAnsi="Times New Roman"/>
          <w:sz w:val="24"/>
          <w:szCs w:val="24"/>
        </w:rPr>
      </w:pPr>
      <w:r w:rsidRPr="00DB2B77">
        <w:rPr>
          <w:rFonts w:ascii="Times New Roman" w:hAnsi="Times New Roman"/>
          <w:sz w:val="24"/>
          <w:szCs w:val="24"/>
        </w:rPr>
        <w:t>Article Evaluation:</w:t>
      </w:r>
    </w:p>
    <w:p w:rsidR="00CE3DF1" w:rsidRPr="00DB2B77" w:rsidRDefault="00CE3DF1" w:rsidP="00CE3DF1">
      <w:pPr>
        <w:autoSpaceDE w:val="0"/>
        <w:autoSpaceDN w:val="0"/>
        <w:adjustRightInd w:val="0"/>
        <w:spacing w:after="0" w:line="240" w:lineRule="auto"/>
        <w:rPr>
          <w:rFonts w:ascii="Times New Roman" w:hAnsi="Times New Roman"/>
          <w:sz w:val="24"/>
          <w:szCs w:val="24"/>
        </w:rPr>
      </w:pPr>
    </w:p>
    <w:p w:rsidR="00CE3DF1" w:rsidRPr="00DB2B77" w:rsidRDefault="00CE3DF1" w:rsidP="00CE3DF1">
      <w:pPr>
        <w:autoSpaceDE w:val="0"/>
        <w:autoSpaceDN w:val="0"/>
        <w:adjustRightInd w:val="0"/>
        <w:spacing w:after="0" w:line="240" w:lineRule="auto"/>
        <w:ind w:firstLine="720"/>
        <w:rPr>
          <w:rFonts w:ascii="Times New Roman" w:hAnsi="Times New Roman"/>
          <w:sz w:val="24"/>
          <w:szCs w:val="24"/>
        </w:rPr>
      </w:pPr>
      <w:r w:rsidRPr="00DB2B77">
        <w:rPr>
          <w:rFonts w:ascii="Times New Roman" w:hAnsi="Times New Roman"/>
          <w:sz w:val="24"/>
          <w:szCs w:val="24"/>
        </w:rPr>
        <w:t>Overall, the subject matter itself is quite interesting but the article is rather hard to follow.  Also, the organization of the material is perhaps in such a way that a history scholar could follow, but maybe not so much for the average college undergraduate.  In terms of page format, more paragraph breaks would make reading the article easier and help to facilitate understanding of the material.</w:t>
      </w:r>
    </w:p>
    <w:p w:rsidR="00CE3DF1" w:rsidRPr="00DB2B77" w:rsidRDefault="00CE3DF1" w:rsidP="00CE3DF1">
      <w:pPr>
        <w:autoSpaceDE w:val="0"/>
        <w:autoSpaceDN w:val="0"/>
        <w:adjustRightInd w:val="0"/>
        <w:spacing w:after="0" w:line="240" w:lineRule="auto"/>
        <w:ind w:firstLine="720"/>
        <w:rPr>
          <w:rFonts w:ascii="Times New Roman" w:hAnsi="Times New Roman"/>
          <w:sz w:val="24"/>
          <w:szCs w:val="24"/>
        </w:rPr>
      </w:pPr>
      <w:r w:rsidRPr="00DB2B77">
        <w:rPr>
          <w:rFonts w:ascii="Times New Roman" w:hAnsi="Times New Roman"/>
          <w:sz w:val="24"/>
          <w:szCs w:val="24"/>
        </w:rPr>
        <w:br/>
        <w:t>          Surprisingly, Osbourne makes no grand statement, epiphany, or even point in the final sentence of the article (“… although whether it [the acquisition of Mark’s relics] happened by accident or design is another difficult issue which still awaits definitive resolution” [386]). This kind of generic ending that takes no ground is like that an undergraduate might write. </w:t>
      </w:r>
    </w:p>
    <w:p w:rsidR="00CE3DF1" w:rsidRPr="00DB2B77" w:rsidRDefault="00CE3DF1" w:rsidP="00CE3DF1">
      <w:pPr>
        <w:spacing w:after="0" w:line="240" w:lineRule="auto"/>
        <w:rPr>
          <w:rFonts w:ascii="Times New Roman" w:eastAsia="Times New Roman" w:hAnsi="Times New Roman"/>
        </w:rPr>
      </w:pPr>
    </w:p>
    <w:p w:rsidR="00CE3DF1" w:rsidRPr="00DB2B77" w:rsidRDefault="00CE3DF1" w:rsidP="00CE3DF1">
      <w:pPr>
        <w:spacing w:after="0" w:line="240" w:lineRule="auto"/>
        <w:rPr>
          <w:rFonts w:ascii="Times New Roman" w:hAnsi="Times New Roman"/>
        </w:rPr>
      </w:pPr>
      <w:r w:rsidRPr="00DB2B77">
        <w:rPr>
          <w:rFonts w:ascii="Times New Roman" w:eastAsia="Times New Roman" w:hAnsi="Times New Roman"/>
        </w:rPr>
        <w:br/>
      </w:r>
    </w:p>
    <w:p w:rsidR="00E36039" w:rsidRDefault="00E36039"/>
    <w:sectPr w:rsidR="00E36039" w:rsidSect="002458EA">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DF1"/>
    <w:rsid w:val="00CE3DF1"/>
    <w:rsid w:val="00E36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6C321B-E4F6-4CDC-95E3-88CB6785F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3DF1"/>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2351</Characters>
  <Application>Microsoft Office Word</Application>
  <DocSecurity>0</DocSecurity>
  <Lines>19</Lines>
  <Paragraphs>5</Paragraphs>
  <ScaleCrop>false</ScaleCrop>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bisnett</dc:creator>
  <cp:keywords/>
  <dc:description/>
  <cp:lastModifiedBy>matt bisnett</cp:lastModifiedBy>
  <cp:revision>1</cp:revision>
  <dcterms:created xsi:type="dcterms:W3CDTF">2018-12-11T15:21:00Z</dcterms:created>
  <dcterms:modified xsi:type="dcterms:W3CDTF">2018-12-11T15:22:00Z</dcterms:modified>
</cp:coreProperties>
</file>